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13 269 / 34 vom 30. Januar 2014</w:t>
      </w:r>
    </w:p>
    <w:p>
      <w:r>
        <w:t>BL Gerichte, 2014-01-30, DE</w:t>
      </w:r>
    </w:p>
    <w:p>
      <w:r>
        <w:rPr>
          <w:b/>
        </w:rPr>
        <w:t xml:space="preserve">Quelle: </w:t>
      </w:r>
      <w:r>
        <w:t>https://mcp.opencaselaw.ch/entscheid/bl_gerichte_720 13 269 _ 34</w:t>
      </w:r>
    </w:p>
    <w:p>
      <w:r>
        <w:t>FR: BL_GERICHTE 720 13 269 / 34 du 30 janvier 2014</w:t>
      </w:r>
    </w:p>
    <w:p>
      <w:r>
        <w:t>IT: BL_GERICHTE 720 13 269 / 34 del 30 gennaio 2014</w:t>
      </w:r>
    </w:p>
    <w:p>
      <w:pPr>
        <w:pStyle w:val="Heading2"/>
      </w:pPr>
      <w:r>
        <w:t>Regeste</w:t>
      </w:r>
    </w:p>
    <w:p>
      <w:r>
        <w:t>IV-Rente / Hilflosenentschädigung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Anfechtungsobjekte des vorliegenden Verfahrens bilden zwei Verfügungen der IV-Stelle Basel-Landschaft,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- im Übrigen frist- und formgerecht erhobene - Beschwerde des Versicherten vom 17. September 2013 ist demnach einzutreten.</w:t>
      </w:r>
    </w:p>
    <w:p>
      <w:r>
        <w:rPr>
          <w:b/>
        </w:rPr>
        <w:t>E. 2</w:t>
      </w:r>
    </w:p>
    <w:p>
      <w:r>
        <w:t>Streitgegenstand des vorliegenden Verfahrens bildet in erster Linie die Frage, ob der Beschwerdeführer die versicherungsmässigen Voraussetzungen für den Bezug einer ausserordentlichen Rente und einer Hilflosenentschädigung der IV erfüllt.</w:t>
      </w:r>
    </w:p>
    <w:p>
      <w:r>
        <w:rPr>
          <w:b/>
        </w:rPr>
        <w:t>E. 3</w:t>
      </w:r>
    </w:p>
    <w:p>
      <w:r>
        <w:t>Die ausserordentlichen Kosten werden wettgeschlagen. Gegen diesen Entscheid wurde vom Beschwerdeführer am 25. März 2014 Beschwerde beim Bundesgericht (siehe nach Vorliegen des Urteils: Verfahren-Nr. 9C_254/2014 )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